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13" w:rsidRPr="00013913" w:rsidRDefault="00013913" w:rsidP="00013913">
      <w:pPr>
        <w:numPr>
          <w:ilvl w:val="0"/>
          <w:numId w:val="16"/>
        </w:numPr>
        <w:tabs>
          <w:tab w:val="num" w:pos="1364"/>
        </w:tabs>
        <w:spacing w:line="360" w:lineRule="auto"/>
        <w:ind w:left="0" w:firstLine="0"/>
        <w:rPr>
          <w:rFonts w:ascii="Times New Roman" w:eastAsia="Calibri" w:hAnsi="Times New Roman"/>
          <w:b/>
          <w:color w:val="000000"/>
          <w:szCs w:val="22"/>
        </w:rPr>
      </w:pPr>
      <w:r w:rsidRPr="00013913">
        <w:rPr>
          <w:rFonts w:ascii="Times New Roman" w:eastAsia="Calibri" w:hAnsi="Times New Roman"/>
          <w:b/>
          <w:color w:val="000000"/>
          <w:szCs w:val="22"/>
        </w:rPr>
        <w:t>PROSEDÜR AKIŞI:</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sosyal tesisler ile işçilerin çalıştığı mahallerde, koku çıkaran yerlerden ve </w:t>
      </w:r>
      <w:proofErr w:type="gramStart"/>
      <w:r w:rsidRPr="00013913">
        <w:rPr>
          <w:rFonts w:ascii="Times New Roman" w:eastAsia="Calibri" w:hAnsi="Times New Roman"/>
          <w:szCs w:val="22"/>
        </w:rPr>
        <w:t>enfeksiyon</w:t>
      </w:r>
      <w:proofErr w:type="gramEnd"/>
      <w:r w:rsidRPr="00013913">
        <w:rPr>
          <w:rFonts w:ascii="Times New Roman" w:eastAsia="Calibri" w:hAnsi="Times New Roman"/>
          <w:szCs w:val="22"/>
        </w:rPr>
        <w:t xml:space="preserve"> kaynaklarından yeterli uzaklıkta bulunmalı, bunların kokularından işçiler korunmalıdır.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atık ve birikinti suların aktığı ve toplandığı yerler, özel veya genel kanalizasyona veyahut fosseptiğe bağlanmalı, üzerleri açılır kapanır kapakla örtülmelidir.  Bu kapak, günde en az bir kere bol su ile yıkanmalıdır.  Boşaltma boruları, sızdırmaz malzemeden ve sızdırmayacak şekilde bağlanmış, akış doğrultusunda eğimli olmalıdır</w:t>
      </w:r>
    </w:p>
    <w:p w:rsidR="00013913" w:rsidRPr="00013913" w:rsidRDefault="00013913" w:rsidP="00013913">
      <w:pPr>
        <w:numPr>
          <w:ilvl w:val="1"/>
          <w:numId w:val="17"/>
        </w:numPr>
        <w:tabs>
          <w:tab w:val="left" w:pos="525"/>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duvarlara ve yerlere tükürmek, çöp atmak yasaklanmalıdır.  Bu yasağı belirten uyarı levhaları tüm çalışanların görebileceği yerlere asılmalıdır.  Ayrıca, çöp kutuları yerleştirilip her postada temizlenip </w:t>
      </w:r>
      <w:proofErr w:type="gramStart"/>
      <w:r w:rsidRPr="00013913">
        <w:rPr>
          <w:rFonts w:ascii="Times New Roman" w:eastAsia="Calibri" w:hAnsi="Times New Roman"/>
          <w:szCs w:val="22"/>
        </w:rPr>
        <w:t>dezenfekte</w:t>
      </w:r>
      <w:proofErr w:type="gramEnd"/>
      <w:r w:rsidRPr="00013913">
        <w:rPr>
          <w:rFonts w:ascii="Times New Roman" w:eastAsia="Calibri" w:hAnsi="Times New Roman"/>
          <w:szCs w:val="22"/>
        </w:rPr>
        <w:t xml:space="preserve"> edilmelidir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haşarat, böcek ve kemirici hayvanların bulunmaması için gerekli </w:t>
      </w:r>
      <w:proofErr w:type="spellStart"/>
      <w:r w:rsidRPr="00013913">
        <w:rPr>
          <w:rFonts w:ascii="Times New Roman" w:eastAsia="Calibri" w:hAnsi="Times New Roman"/>
          <w:szCs w:val="22"/>
        </w:rPr>
        <w:t>ensektisit</w:t>
      </w:r>
      <w:proofErr w:type="spellEnd"/>
      <w:r w:rsidRPr="00013913">
        <w:rPr>
          <w:rFonts w:ascii="Times New Roman" w:eastAsia="Calibri" w:hAnsi="Times New Roman"/>
          <w:szCs w:val="22"/>
        </w:rPr>
        <w:t xml:space="preserve"> ve </w:t>
      </w:r>
      <w:proofErr w:type="spellStart"/>
      <w:r w:rsidRPr="00013913">
        <w:rPr>
          <w:rFonts w:ascii="Times New Roman" w:eastAsia="Calibri" w:hAnsi="Times New Roman"/>
          <w:szCs w:val="22"/>
        </w:rPr>
        <w:t>rodentisit</w:t>
      </w:r>
      <w:proofErr w:type="spellEnd"/>
      <w:r w:rsidRPr="00013913">
        <w:rPr>
          <w:rFonts w:ascii="Times New Roman" w:eastAsia="Calibri" w:hAnsi="Times New Roman"/>
          <w:szCs w:val="22"/>
        </w:rPr>
        <w:t xml:space="preserve"> maddeler kullanılmalı ve gerektiğinde bunlar fenni usullerle yok edilmelidir.  Sineklere karşı kapı ve pencerelere tel kafes konulmalıdır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her zaman kullanılmaya hazır içme suyu bulundurulmalı, içme suyunun fiziksel, kimyasal ve biyolojik analizi yeterliliği olan laboratuvarlarda yaptırılır ve kayıtları muhafaza edilir.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İçme suyu tesisatı veya kapları, kullanma suyundan ayrı olmalı ve üzerine </w:t>
      </w:r>
      <w:r w:rsidRPr="00013913">
        <w:rPr>
          <w:rFonts w:ascii="Times New Roman" w:eastAsia="Calibri" w:hAnsi="Times New Roman"/>
          <w:bCs/>
          <w:szCs w:val="22"/>
        </w:rPr>
        <w:t>“İÇME SUYU”</w:t>
      </w:r>
      <w:r w:rsidRPr="00013913">
        <w:rPr>
          <w:rFonts w:ascii="Times New Roman" w:eastAsia="Calibri" w:hAnsi="Times New Roman"/>
          <w:szCs w:val="22"/>
        </w:rPr>
        <w:t xml:space="preserve"> </w:t>
      </w:r>
      <w:proofErr w:type="gramStart"/>
      <w:r w:rsidRPr="00013913">
        <w:rPr>
          <w:rFonts w:ascii="Times New Roman" w:eastAsia="Calibri" w:hAnsi="Times New Roman"/>
          <w:szCs w:val="22"/>
        </w:rPr>
        <w:t>işareti</w:t>
      </w:r>
      <w:proofErr w:type="gramEnd"/>
      <w:r w:rsidRPr="00013913">
        <w:rPr>
          <w:rFonts w:ascii="Times New Roman" w:eastAsia="Calibri" w:hAnsi="Times New Roman"/>
          <w:szCs w:val="22"/>
        </w:rPr>
        <w:t xml:space="preserve"> konulmalıdır.  Su içmek için kişiye özel bardak kullanılmalı veya karton bardaklar kullanıldığı </w:t>
      </w:r>
      <w:proofErr w:type="gramStart"/>
      <w:r w:rsidRPr="00013913">
        <w:rPr>
          <w:rFonts w:ascii="Times New Roman" w:eastAsia="Calibri" w:hAnsi="Times New Roman"/>
          <w:szCs w:val="22"/>
        </w:rPr>
        <w:t>taktirde</w:t>
      </w:r>
      <w:proofErr w:type="gramEnd"/>
      <w:r w:rsidRPr="00013913">
        <w:rPr>
          <w:rFonts w:ascii="Times New Roman" w:eastAsia="Calibri" w:hAnsi="Times New Roman"/>
          <w:szCs w:val="22"/>
        </w:rPr>
        <w:t xml:space="preserve"> temiz kutuda saklanmalı, bir kere kullanıldıktan sonra atılması için musluğun yanında özel bir sepet bulundurulmalıdır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Çalışanların, çalıştıkları yerlerde ve iş başında yemek yemeleri yasaklanmalıdır.  </w:t>
      </w:r>
      <w:r w:rsidRPr="00013913">
        <w:rPr>
          <w:rFonts w:ascii="Times New Roman" w:eastAsia="Calibri" w:hAnsi="Times New Roman"/>
          <w:bCs/>
          <w:szCs w:val="22"/>
        </w:rPr>
        <w:t>Bu hususta işçiler,  afiş ve posterlerle uyarılmalıdır.</w:t>
      </w:r>
    </w:p>
    <w:p w:rsidR="00013913" w:rsidRPr="00013913" w:rsidRDefault="00013913" w:rsidP="00013913">
      <w:pPr>
        <w:tabs>
          <w:tab w:val="left" w:pos="525"/>
          <w:tab w:val="num" w:pos="2084"/>
        </w:tabs>
        <w:spacing w:line="360" w:lineRule="auto"/>
        <w:rPr>
          <w:rFonts w:ascii="Times New Roman" w:eastAsia="Calibri" w:hAnsi="Times New Roman"/>
          <w:b/>
          <w:szCs w:val="22"/>
          <w:u w:val="single"/>
        </w:rPr>
      </w:pPr>
      <w:r w:rsidRPr="00013913">
        <w:rPr>
          <w:rFonts w:ascii="Times New Roman" w:eastAsia="Calibri" w:hAnsi="Times New Roman"/>
          <w:b/>
          <w:szCs w:val="22"/>
          <w:u w:val="single"/>
        </w:rPr>
        <w:t>KİŞİSEL TEMİZLİK VE HİJYEN</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İşçiler, tuvalete gittikten sonra mutlaka ellerini yıkamaları konusunda eğitilmelidirler.  Bu temizlik sabunla olmalı, asla çözücülü deterjan malzemesi kullanılmamalıdır. Mutlaka kullanılması gerekiyorsa, sonradan sabunlu suyla yıkatılmalıdır.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w:t>
      </w: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lastRenderedPageBreak/>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w:t>
      </w:r>
      <w:r w:rsidRPr="00013913">
        <w:rPr>
          <w:rFonts w:ascii="Times New Roman" w:eastAsia="Calibri" w:hAnsi="Times New Roman"/>
          <w:bCs/>
          <w:szCs w:val="22"/>
        </w:rPr>
        <w:t>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w:t>
      </w:r>
      <w:r w:rsidRPr="00013913">
        <w:rPr>
          <w:rFonts w:ascii="Times New Roman" w:eastAsia="Calibri" w:hAnsi="Times New Roman"/>
          <w:bCs/>
          <w:szCs w:val="22"/>
        </w:rPr>
        <w:t>İşçiler, tuvalete gittikten sonra mutlaka ellerini yıkamaları konusunda eğitilmelidirler.  Bu temizlik sabunla olmalı, asla çözücülü deterjan malzemesi kullanılmalıdır.  Mutlaka kullanılması gerekiyorsa, sonradan sabunlu suyla yıkatılmalıdır.</w:t>
      </w:r>
    </w:p>
    <w:p w:rsidR="00013913" w:rsidRPr="00013913" w:rsidRDefault="00013913" w:rsidP="00013913">
      <w:pPr>
        <w:tabs>
          <w:tab w:val="left" w:pos="525"/>
          <w:tab w:val="num" w:pos="2084"/>
        </w:tabs>
        <w:spacing w:line="360" w:lineRule="auto"/>
        <w:rPr>
          <w:rFonts w:ascii="Times New Roman" w:eastAsia="Calibri" w:hAnsi="Times New Roman"/>
          <w:szCs w:val="22"/>
        </w:rPr>
      </w:pP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w:t>
      </w: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Deri tahrişi meydana geldiğinde sancı verici bir cilt </w:t>
      </w:r>
      <w:proofErr w:type="gramStart"/>
      <w:r w:rsidRPr="00013913">
        <w:rPr>
          <w:rFonts w:ascii="Times New Roman" w:eastAsia="Calibri" w:hAnsi="Times New Roman"/>
          <w:szCs w:val="22"/>
        </w:rPr>
        <w:t>enfeksiyonu</w:t>
      </w:r>
      <w:proofErr w:type="gramEnd"/>
      <w:r w:rsidRPr="00013913">
        <w:rPr>
          <w:rFonts w:ascii="Times New Roman" w:eastAsia="Calibri" w:hAnsi="Times New Roman"/>
          <w:szCs w:val="22"/>
        </w:rPr>
        <w:t xml:space="preserve"> önlemek üzere işyeri hekimine gitmeleri konusunda işçiler uyarılmalıdır.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Bulaşma olasılığı olan yerlerde ve işlerde çalıştırılacak işçilere yapılan işe uygun koruyucu elbise, eldiven ve çizme verilmeli, yeraltı ve benzeri yerlerde yapılacak işlerde deriden bulaşma tehlikesine karşı çıplak ayakla çalışma önlenmelidir</w:t>
      </w:r>
    </w:p>
    <w:p w:rsidR="00013913" w:rsidRPr="00013913" w:rsidRDefault="00013913" w:rsidP="00013913">
      <w:pPr>
        <w:spacing w:line="360" w:lineRule="auto"/>
        <w:rPr>
          <w:rFonts w:ascii="Times New Roman" w:eastAsia="Calibri" w:hAnsi="Times New Roman"/>
          <w:szCs w:val="22"/>
        </w:rPr>
      </w:pPr>
    </w:p>
    <w:p w:rsidR="007E57D7" w:rsidRPr="00013913" w:rsidRDefault="007E57D7" w:rsidP="00013913">
      <w:pPr>
        <w:spacing w:line="360" w:lineRule="auto"/>
        <w:rPr>
          <w:rFonts w:ascii="Times New Roman" w:hAnsi="Times New Roman"/>
          <w:sz w:val="28"/>
        </w:rPr>
      </w:pPr>
    </w:p>
    <w:sectPr w:rsidR="007E57D7" w:rsidRPr="0001391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8C" w:rsidRDefault="00DB7D8C">
      <w:r>
        <w:separator/>
      </w:r>
    </w:p>
  </w:endnote>
  <w:endnote w:type="continuationSeparator" w:id="0">
    <w:p w:rsidR="00DB7D8C" w:rsidRDefault="00D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1D" w:rsidRDefault="00A51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8C" w:rsidRDefault="00DB7D8C">
      <w:r>
        <w:separator/>
      </w:r>
    </w:p>
  </w:footnote>
  <w:footnote w:type="continuationSeparator" w:id="0">
    <w:p w:rsidR="00DB7D8C" w:rsidRDefault="00DB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6CEBC87" wp14:editId="542369A6">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5378F9" w:rsidRPr="005378F9" w:rsidRDefault="00A5121D" w:rsidP="005378F9">
          <w:pPr>
            <w:jc w:val="center"/>
            <w:rPr>
              <w:rFonts w:ascii="Times New Roman" w:eastAsia="Calibri" w:hAnsi="Times New Roman"/>
              <w:b/>
              <w:sz w:val="20"/>
              <w:szCs w:val="22"/>
            </w:rPr>
          </w:pPr>
          <w:proofErr w:type="gramStart"/>
          <w:r>
            <w:rPr>
              <w:rFonts w:ascii="Times New Roman" w:hAnsi="Times New Roman"/>
              <w:b/>
              <w:sz w:val="20"/>
            </w:rPr>
            <w:t>T</w:t>
          </w:r>
          <w:r w:rsidR="005378F9" w:rsidRPr="005378F9">
            <w:rPr>
              <w:rFonts w:ascii="Times New Roman" w:eastAsia="Calibri" w:hAnsi="Times New Roman"/>
              <w:b/>
              <w:sz w:val="20"/>
              <w:szCs w:val="22"/>
            </w:rPr>
            <w:t>T.C</w:t>
          </w:r>
          <w:proofErr w:type="gramEnd"/>
          <w:r w:rsidR="005378F9" w:rsidRPr="005378F9">
            <w:rPr>
              <w:rFonts w:ascii="Times New Roman" w:eastAsia="Calibri" w:hAnsi="Times New Roman"/>
              <w:b/>
              <w:sz w:val="20"/>
              <w:szCs w:val="22"/>
            </w:rPr>
            <w:t>.</w:t>
          </w:r>
        </w:p>
        <w:p w:rsidR="005378F9" w:rsidRPr="005378F9" w:rsidRDefault="005378F9" w:rsidP="005378F9">
          <w:pPr>
            <w:jc w:val="center"/>
            <w:rPr>
              <w:rFonts w:ascii="Times New Roman" w:eastAsia="Calibri" w:hAnsi="Times New Roman"/>
              <w:b/>
              <w:sz w:val="20"/>
              <w:szCs w:val="22"/>
            </w:rPr>
          </w:pPr>
          <w:r w:rsidRPr="005378F9">
            <w:rPr>
              <w:rFonts w:ascii="Times New Roman" w:eastAsia="Calibri" w:hAnsi="Times New Roman"/>
              <w:b/>
              <w:sz w:val="20"/>
              <w:szCs w:val="22"/>
            </w:rPr>
            <w:t>BULANCAK KAYMAKAMLIĞI</w:t>
          </w:r>
        </w:p>
        <w:p w:rsidR="00960B88" w:rsidRPr="007E57D7" w:rsidRDefault="005378F9" w:rsidP="005378F9">
          <w:pPr>
            <w:jc w:val="center"/>
            <w:rPr>
              <w:rFonts w:ascii="Times New Roman" w:hAnsi="Times New Roman"/>
              <w:b/>
              <w:sz w:val="20"/>
            </w:rPr>
          </w:pPr>
          <w:r w:rsidRPr="005378F9">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013913">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C95906">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C95906">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bookmarkStart w:id="0" w:name="_GoBack" w:colFirst="1" w:colLast="1"/>
        </w:p>
      </w:tc>
      <w:tc>
        <w:tcPr>
          <w:tcW w:w="6095" w:type="dxa"/>
          <w:vAlign w:val="center"/>
        </w:tcPr>
        <w:p w:rsidR="00960B88" w:rsidRPr="00C95906" w:rsidRDefault="00013913" w:rsidP="00661B39">
          <w:pPr>
            <w:jc w:val="center"/>
            <w:rPr>
              <w:rFonts w:ascii="Times New Roman" w:hAnsi="Times New Roman"/>
              <w:b/>
              <w:sz w:val="32"/>
              <w:szCs w:val="32"/>
            </w:rPr>
          </w:pPr>
          <w:r w:rsidRPr="00C95906">
            <w:rPr>
              <w:rFonts w:ascii="Times New Roman" w:hAnsi="Times New Roman"/>
              <w:b/>
              <w:sz w:val="32"/>
              <w:szCs w:val="32"/>
            </w:rPr>
            <w:t>İş Hijyeni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bookmarkEnd w:id="0"/>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1D" w:rsidRDefault="00A512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3913"/>
    <w:rsid w:val="0001703E"/>
    <w:rsid w:val="00061104"/>
    <w:rsid w:val="00076E64"/>
    <w:rsid w:val="000A4474"/>
    <w:rsid w:val="000B7CF3"/>
    <w:rsid w:val="000D1503"/>
    <w:rsid w:val="000D54D9"/>
    <w:rsid w:val="00122899"/>
    <w:rsid w:val="00136CD1"/>
    <w:rsid w:val="0014403E"/>
    <w:rsid w:val="00145D13"/>
    <w:rsid w:val="00196A5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5378F9"/>
    <w:rsid w:val="0054640B"/>
    <w:rsid w:val="0056141D"/>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121D"/>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C7C6F"/>
    <w:rsid w:val="00BE2E6D"/>
    <w:rsid w:val="00BF038E"/>
    <w:rsid w:val="00C436F8"/>
    <w:rsid w:val="00C84FF6"/>
    <w:rsid w:val="00C941AD"/>
    <w:rsid w:val="00C9575D"/>
    <w:rsid w:val="00C95906"/>
    <w:rsid w:val="00CA42BC"/>
    <w:rsid w:val="00CB4A93"/>
    <w:rsid w:val="00CD7B6B"/>
    <w:rsid w:val="00CF6068"/>
    <w:rsid w:val="00D3719C"/>
    <w:rsid w:val="00D57108"/>
    <w:rsid w:val="00DB324C"/>
    <w:rsid w:val="00DB7D8C"/>
    <w:rsid w:val="00DC18F4"/>
    <w:rsid w:val="00DE5AEC"/>
    <w:rsid w:val="00E404FE"/>
    <w:rsid w:val="00E46F80"/>
    <w:rsid w:val="00E53B68"/>
    <w:rsid w:val="00E54933"/>
    <w:rsid w:val="00E678D5"/>
    <w:rsid w:val="00E80936"/>
    <w:rsid w:val="00EE2338"/>
    <w:rsid w:val="00EF09F2"/>
    <w:rsid w:val="00F165F6"/>
    <w:rsid w:val="00F20174"/>
    <w:rsid w:val="00F20360"/>
    <w:rsid w:val="00F50483"/>
    <w:rsid w:val="00F703A1"/>
    <w:rsid w:val="00F90595"/>
    <w:rsid w:val="00FA3CC6"/>
    <w:rsid w:val="00FC1216"/>
    <w:rsid w:val="00FC56A7"/>
    <w:rsid w:val="00FD0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69FE03-A028-44EE-AFB1-2B7E9118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252">
      <w:bodyDiv w:val="1"/>
      <w:marLeft w:val="0"/>
      <w:marRight w:val="0"/>
      <w:marTop w:val="0"/>
      <w:marBottom w:val="0"/>
      <w:divBdr>
        <w:top w:val="none" w:sz="0" w:space="0" w:color="auto"/>
        <w:left w:val="none" w:sz="0" w:space="0" w:color="auto"/>
        <w:bottom w:val="none" w:sz="0" w:space="0" w:color="auto"/>
        <w:right w:val="none" w:sz="0" w:space="0" w:color="auto"/>
      </w:divBdr>
    </w:div>
    <w:div w:id="2467693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6245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7158-6461-4252-AFC2-3BBA2FCC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4</cp:revision>
  <cp:lastPrinted>2010-12-20T21:35:00Z</cp:lastPrinted>
  <dcterms:created xsi:type="dcterms:W3CDTF">2017-12-26T13:21:00Z</dcterms:created>
  <dcterms:modified xsi:type="dcterms:W3CDTF">2018-10-03T10:41:00Z</dcterms:modified>
</cp:coreProperties>
</file>